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E6" w:rsidRPr="000214E6" w:rsidRDefault="000214E6" w:rsidP="000214E6">
      <w:pPr>
        <w:spacing w:after="0"/>
        <w:jc w:val="center"/>
        <w:rPr>
          <w:rFonts w:ascii="Arial" w:hAnsi="Arial" w:cs="Arial"/>
          <w:b/>
        </w:rPr>
      </w:pPr>
      <w:r w:rsidRPr="000214E6">
        <w:rPr>
          <w:rFonts w:ascii="Arial" w:hAnsi="Arial" w:cs="Arial"/>
          <w:b/>
        </w:rPr>
        <w:t>Terms of Reference</w:t>
      </w:r>
    </w:p>
    <w:p w:rsidR="00CA6053" w:rsidRPr="000214E6" w:rsidRDefault="000214E6" w:rsidP="000214E6">
      <w:pPr>
        <w:spacing w:after="0"/>
        <w:jc w:val="center"/>
        <w:rPr>
          <w:rFonts w:ascii="Arial" w:hAnsi="Arial" w:cs="Arial"/>
          <w:b/>
        </w:rPr>
      </w:pPr>
      <w:r w:rsidRPr="000214E6">
        <w:rPr>
          <w:rFonts w:ascii="Arial" w:hAnsi="Arial" w:cs="Arial"/>
          <w:b/>
        </w:rPr>
        <w:t>Donor Prospect Clearance Committee</w:t>
      </w:r>
    </w:p>
    <w:p w:rsidR="000214E6" w:rsidRPr="000214E6" w:rsidRDefault="000214E6" w:rsidP="000214E6">
      <w:pPr>
        <w:rPr>
          <w:rFonts w:ascii="Arial" w:hAnsi="Arial" w:cs="Arial"/>
          <w:b/>
        </w:rPr>
      </w:pPr>
      <w:r w:rsidRPr="000214E6">
        <w:rPr>
          <w:rFonts w:ascii="Arial" w:hAnsi="Arial" w:cs="Arial"/>
          <w:b/>
        </w:rPr>
        <w:t>Authority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The Donor Prospect Clearance Committee is established under the authority of the Executive Director, to match solicitors and projects in order to maximize philanthropic support for the University’s greatest priorities.</w:t>
      </w:r>
    </w:p>
    <w:p w:rsidR="000214E6" w:rsidRPr="000214E6" w:rsidRDefault="000214E6" w:rsidP="000214E6">
      <w:pPr>
        <w:rPr>
          <w:rFonts w:ascii="Arial" w:hAnsi="Arial" w:cs="Arial"/>
          <w:b/>
        </w:rPr>
      </w:pPr>
      <w:r w:rsidRPr="000214E6">
        <w:rPr>
          <w:rFonts w:ascii="Arial" w:hAnsi="Arial" w:cs="Arial"/>
          <w:b/>
        </w:rPr>
        <w:t>Mandate and Responsibilities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The Committee has overall responsibility for reviewing all Donor Prospect Clearance submissions and for deciding on an appropriate course of action.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Its mandate is: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>To apply the principles of Prospect Clearance specified in the Donor Prospect Clearance Policy and its related Procedures.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>To decide on the best prospect and/or relationship manager for a particular prospect or project.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>To ensure all individuals who wish to solicit gifts on behalf of the University are subject to the same Donor Prospect Clearance process.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>To be involved in the operational aspects of Donor Prospect Clearance, including resolution of competition for prospects.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>To undertake periodic reviews using the Donor Prospect Clearance Procedures to meet the changing needs of prospects and projects.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>To educate staff, volunteers and other stakeholders about the Donor Prospect Clearance Policy and its related procedures.</w:t>
      </w:r>
    </w:p>
    <w:p w:rsidR="000214E6" w:rsidRPr="000214E6" w:rsidRDefault="000214E6" w:rsidP="000214E6">
      <w:pPr>
        <w:pStyle w:val="ListParagraph"/>
        <w:numPr>
          <w:ilvl w:val="0"/>
          <w:numId w:val="3"/>
        </w:numPr>
      </w:pPr>
      <w:r w:rsidRPr="000214E6">
        <w:t xml:space="preserve">To coordinate major solicitations of prospective and existing donors. </w:t>
      </w:r>
    </w:p>
    <w:p w:rsidR="000214E6" w:rsidRPr="000214E6" w:rsidRDefault="000214E6" w:rsidP="000214E6">
      <w:pPr>
        <w:spacing w:after="0"/>
        <w:rPr>
          <w:rFonts w:ascii="Arial" w:hAnsi="Arial" w:cs="Arial"/>
        </w:rPr>
      </w:pPr>
      <w:r w:rsidRPr="000214E6">
        <w:rPr>
          <w:rFonts w:ascii="Arial" w:hAnsi="Arial" w:cs="Arial"/>
        </w:rPr>
        <w:t>The Committee is guided by:</w:t>
      </w:r>
    </w:p>
    <w:p w:rsidR="000214E6" w:rsidRPr="000214E6" w:rsidRDefault="000214E6" w:rsidP="000214E6">
      <w:pPr>
        <w:pStyle w:val="ListParagraph"/>
        <w:numPr>
          <w:ilvl w:val="0"/>
          <w:numId w:val="2"/>
        </w:numPr>
      </w:pPr>
      <w:r w:rsidRPr="000214E6">
        <w:t>Donor Prospect Clearance Policy</w:t>
      </w:r>
    </w:p>
    <w:p w:rsidR="000214E6" w:rsidRPr="000214E6" w:rsidRDefault="000214E6" w:rsidP="000214E6">
      <w:pPr>
        <w:pStyle w:val="ListParagraph"/>
        <w:numPr>
          <w:ilvl w:val="0"/>
          <w:numId w:val="2"/>
        </w:numPr>
      </w:pPr>
      <w:r w:rsidRPr="000214E6">
        <w:t>Naming Opportunity Policy</w:t>
      </w:r>
    </w:p>
    <w:p w:rsidR="000214E6" w:rsidRPr="000214E6" w:rsidRDefault="000214E6" w:rsidP="000214E6">
      <w:pPr>
        <w:pStyle w:val="ListParagraph"/>
        <w:numPr>
          <w:ilvl w:val="0"/>
          <w:numId w:val="2"/>
        </w:numPr>
      </w:pPr>
      <w:r w:rsidRPr="000214E6">
        <w:t xml:space="preserve">Gift Acceptance Policy </w:t>
      </w:r>
    </w:p>
    <w:p w:rsidR="000214E6" w:rsidRPr="000214E6" w:rsidRDefault="000214E6" w:rsidP="000214E6">
      <w:pPr>
        <w:pStyle w:val="ListParagraph"/>
        <w:numPr>
          <w:ilvl w:val="0"/>
          <w:numId w:val="2"/>
        </w:numPr>
      </w:pPr>
      <w:r w:rsidRPr="000214E6">
        <w:t>Canada Revenue Agency</w:t>
      </w:r>
    </w:p>
    <w:p w:rsidR="000214E6" w:rsidRPr="000214E6" w:rsidRDefault="000214E6" w:rsidP="000214E6">
      <w:pPr>
        <w:rPr>
          <w:rFonts w:ascii="Arial" w:hAnsi="Arial" w:cs="Arial"/>
        </w:rPr>
      </w:pP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 xml:space="preserve">Guidelines for Charities and Giving </w:t>
      </w:r>
      <w:hyperlink r:id="rId5">
        <w:r w:rsidRPr="000214E6">
          <w:rPr>
            <w:rStyle w:val="Hyperlink"/>
            <w:rFonts w:ascii="Arial" w:hAnsi="Arial" w:cs="Arial"/>
          </w:rPr>
          <w:t xml:space="preserve">https://www.canada.ca/en/services/taxes/charities.html </w:t>
        </w:r>
      </w:hyperlink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Any other legal requirements</w:t>
      </w:r>
    </w:p>
    <w:p w:rsidR="000214E6" w:rsidRPr="000214E6" w:rsidRDefault="000214E6" w:rsidP="000214E6">
      <w:pPr>
        <w:rPr>
          <w:rFonts w:ascii="Arial" w:hAnsi="Arial" w:cs="Arial"/>
          <w:b/>
        </w:rPr>
      </w:pPr>
      <w:r w:rsidRPr="000214E6">
        <w:rPr>
          <w:rFonts w:ascii="Arial" w:hAnsi="Arial" w:cs="Arial"/>
          <w:b/>
        </w:rPr>
        <w:t>Membership</w:t>
      </w:r>
    </w:p>
    <w:p w:rsid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 xml:space="preserve">The membership of the Donor Prospect Clearance Committee ensures that input regarding the University’s mission and its fundraising priorities are </w:t>
      </w:r>
      <w:r>
        <w:rPr>
          <w:rFonts w:ascii="Arial" w:hAnsi="Arial" w:cs="Arial"/>
        </w:rPr>
        <w:t xml:space="preserve">coupled with the best advice of </w:t>
      </w:r>
      <w:r w:rsidRPr="000214E6">
        <w:rPr>
          <w:rFonts w:ascii="Arial" w:hAnsi="Arial" w:cs="Arial"/>
        </w:rPr>
        <w:t>professional fundraisers to maximize fundraising success</w:t>
      </w:r>
      <w:r>
        <w:rPr>
          <w:rFonts w:ascii="Arial" w:hAnsi="Arial" w:cs="Arial"/>
        </w:rPr>
        <w:t>.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Specifically, the Donor Prospect Clearance Committee consists of: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The Executive Director of Development (The Chair)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lastRenderedPageBreak/>
        <w:t>The Associate Director of Development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The Campaign Director (when applicable)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Development Officers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Representative from the Grenfell Campus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Representative from the Marine Institute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Representative from Labrador Campus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Manager of Prospect Research and Prospect Research Officers</w:t>
      </w:r>
    </w:p>
    <w:p w:rsidR="000214E6" w:rsidRPr="000214E6" w:rsidRDefault="000214E6" w:rsidP="000214E6">
      <w:pPr>
        <w:pStyle w:val="ListParagraph"/>
        <w:numPr>
          <w:ilvl w:val="0"/>
          <w:numId w:val="4"/>
        </w:numPr>
      </w:pPr>
      <w:r w:rsidRPr="000214E6">
        <w:t>Manager, Donor Relations and Stewardship</w:t>
      </w:r>
    </w:p>
    <w:p w:rsidR="000214E6" w:rsidRDefault="000214E6" w:rsidP="000214E6">
      <w:pPr>
        <w:rPr>
          <w:rFonts w:ascii="Arial" w:hAnsi="Arial" w:cs="Arial"/>
        </w:rPr>
      </w:pPr>
    </w:p>
    <w:p w:rsidR="000214E6" w:rsidRPr="000214E6" w:rsidRDefault="000214E6" w:rsidP="000214E6">
      <w:pPr>
        <w:rPr>
          <w:rFonts w:ascii="Arial" w:hAnsi="Arial" w:cs="Arial"/>
          <w:b/>
        </w:rPr>
      </w:pPr>
      <w:r w:rsidRPr="000214E6">
        <w:rPr>
          <w:rFonts w:ascii="Arial" w:hAnsi="Arial" w:cs="Arial"/>
          <w:b/>
        </w:rPr>
        <w:t>Operations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The Chair receives Donor Prospect Clearance requested either through forms submitted through email to the Manager of Prospect Research or through the Donor/Alumni Database (for Development staff). Applicants are notified of the date of meetings wherein their proposal will be reviewed.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Once a decision has been rendered, the Applicant will be advised normally within one</w:t>
      </w:r>
      <w:r>
        <w:rPr>
          <w:rFonts w:ascii="Arial" w:hAnsi="Arial" w:cs="Arial"/>
        </w:rPr>
        <w:t xml:space="preserve"> </w:t>
      </w:r>
      <w:r w:rsidRPr="000214E6">
        <w:rPr>
          <w:rFonts w:ascii="Arial" w:hAnsi="Arial" w:cs="Arial"/>
        </w:rPr>
        <w:t>week of the Committee’s meeting.</w:t>
      </w:r>
    </w:p>
    <w:p w:rsidR="000214E6" w:rsidRPr="000214E6" w:rsidRDefault="000214E6" w:rsidP="000214E6">
      <w:pPr>
        <w:rPr>
          <w:rFonts w:ascii="Arial" w:hAnsi="Arial" w:cs="Arial"/>
        </w:rPr>
      </w:pPr>
      <w:r w:rsidRPr="000214E6">
        <w:rPr>
          <w:rFonts w:ascii="Arial" w:hAnsi="Arial" w:cs="Arial"/>
        </w:rPr>
        <w:t>Typical reasons for clearance to be denied include when the prospective donor:</w:t>
      </w:r>
    </w:p>
    <w:p w:rsidR="000214E6" w:rsidRPr="000214E6" w:rsidRDefault="000214E6" w:rsidP="000214E6">
      <w:pPr>
        <w:pStyle w:val="ListParagraph"/>
        <w:numPr>
          <w:ilvl w:val="0"/>
          <w:numId w:val="5"/>
        </w:numPr>
      </w:pPr>
      <w:r w:rsidRPr="000214E6">
        <w:t>is in the process of deciding on another current University proposal;</w:t>
      </w:r>
    </w:p>
    <w:p w:rsidR="000214E6" w:rsidRPr="000214E6" w:rsidRDefault="000214E6" w:rsidP="000214E6">
      <w:pPr>
        <w:pStyle w:val="ListParagraph"/>
        <w:numPr>
          <w:ilvl w:val="0"/>
          <w:numId w:val="5"/>
        </w:numPr>
      </w:pPr>
      <w:r w:rsidRPr="000214E6">
        <w:t>has been cleared for solicitation to another University applicant;</w:t>
      </w:r>
    </w:p>
    <w:p w:rsidR="000214E6" w:rsidRPr="000214E6" w:rsidRDefault="000214E6" w:rsidP="000214E6">
      <w:pPr>
        <w:pStyle w:val="ListParagraph"/>
        <w:numPr>
          <w:ilvl w:val="0"/>
          <w:numId w:val="5"/>
        </w:numPr>
      </w:pPr>
      <w:r w:rsidRPr="000214E6">
        <w:t>has indicated a desire not to be solicited at this time;</w:t>
      </w:r>
    </w:p>
    <w:p w:rsidR="000214E6" w:rsidRPr="000214E6" w:rsidRDefault="000214E6" w:rsidP="000214E6">
      <w:pPr>
        <w:pStyle w:val="ListParagraph"/>
        <w:numPr>
          <w:ilvl w:val="0"/>
          <w:numId w:val="5"/>
        </w:numPr>
      </w:pPr>
      <w:r w:rsidRPr="000214E6">
        <w:t>has recently made a major contribution or pledge, in which case clearance may be approved later;</w:t>
      </w:r>
    </w:p>
    <w:p w:rsidR="000214E6" w:rsidRDefault="000214E6" w:rsidP="000E40DE">
      <w:pPr>
        <w:pStyle w:val="ListParagraph"/>
        <w:numPr>
          <w:ilvl w:val="0"/>
          <w:numId w:val="5"/>
        </w:numPr>
      </w:pPr>
      <w:r w:rsidRPr="000214E6"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152400</wp:posOffset>
                </wp:positionV>
                <wp:extent cx="0" cy="143510"/>
                <wp:effectExtent l="7620" t="8890" r="1143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7AED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6pt,12pt" to="27.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" strokeweight=".18628mm">
                <w10:wrap anchorx="page"/>
              </v:line>
            </w:pict>
          </mc:Fallback>
        </mc:AlternateContent>
      </w:r>
      <w:r w:rsidRPr="000214E6">
        <w:t xml:space="preserve">is known to be involved in activity that is not aligned with the mission, values and strategic plan of the University </w:t>
      </w:r>
    </w:p>
    <w:p w:rsidR="000214E6" w:rsidRPr="000214E6" w:rsidRDefault="000214E6" w:rsidP="000E40DE">
      <w:pPr>
        <w:pStyle w:val="ListParagraph"/>
        <w:numPr>
          <w:ilvl w:val="0"/>
          <w:numId w:val="5"/>
        </w:numPr>
      </w:pPr>
      <w:bookmarkStart w:id="0" w:name="_GoBack"/>
      <w:bookmarkEnd w:id="0"/>
      <w:r w:rsidRPr="000214E6">
        <w:t>or, when the project may jeopardize a future gift.</w:t>
      </w:r>
    </w:p>
    <w:p w:rsidR="000214E6" w:rsidRPr="000214E6" w:rsidRDefault="000214E6">
      <w:pPr>
        <w:rPr>
          <w:rFonts w:ascii="Arial" w:hAnsi="Arial" w:cs="Arial"/>
        </w:rPr>
      </w:pPr>
    </w:p>
    <w:sectPr w:rsidR="000214E6" w:rsidRPr="000214E6" w:rsidSect="0002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2DBF"/>
    <w:multiLevelType w:val="hybridMultilevel"/>
    <w:tmpl w:val="6276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765AC"/>
    <w:multiLevelType w:val="hybridMultilevel"/>
    <w:tmpl w:val="6C6E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02EE8"/>
    <w:multiLevelType w:val="hybridMultilevel"/>
    <w:tmpl w:val="78A6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A53BF"/>
    <w:multiLevelType w:val="hybridMultilevel"/>
    <w:tmpl w:val="1B2CC732"/>
    <w:lvl w:ilvl="0" w:tplc="5C9657F4">
      <w:numFmt w:val="bullet"/>
      <w:lvlText w:val=""/>
      <w:lvlJc w:val="left"/>
      <w:pPr>
        <w:ind w:left="1497" w:hanging="27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C4EF6C6">
      <w:numFmt w:val="bullet"/>
      <w:lvlText w:val="•"/>
      <w:lvlJc w:val="left"/>
      <w:pPr>
        <w:ind w:left="2560" w:hanging="274"/>
      </w:pPr>
      <w:rPr>
        <w:rFonts w:hint="default"/>
      </w:rPr>
    </w:lvl>
    <w:lvl w:ilvl="2" w:tplc="B68A4486">
      <w:numFmt w:val="bullet"/>
      <w:lvlText w:val="•"/>
      <w:lvlJc w:val="left"/>
      <w:pPr>
        <w:ind w:left="3620" w:hanging="274"/>
      </w:pPr>
      <w:rPr>
        <w:rFonts w:hint="default"/>
      </w:rPr>
    </w:lvl>
    <w:lvl w:ilvl="3" w:tplc="25101AD4">
      <w:numFmt w:val="bullet"/>
      <w:lvlText w:val="•"/>
      <w:lvlJc w:val="left"/>
      <w:pPr>
        <w:ind w:left="4680" w:hanging="274"/>
      </w:pPr>
      <w:rPr>
        <w:rFonts w:hint="default"/>
      </w:rPr>
    </w:lvl>
    <w:lvl w:ilvl="4" w:tplc="BD7E11F8">
      <w:numFmt w:val="bullet"/>
      <w:lvlText w:val="•"/>
      <w:lvlJc w:val="left"/>
      <w:pPr>
        <w:ind w:left="5740" w:hanging="274"/>
      </w:pPr>
      <w:rPr>
        <w:rFonts w:hint="default"/>
      </w:rPr>
    </w:lvl>
    <w:lvl w:ilvl="5" w:tplc="BD0AE18A">
      <w:numFmt w:val="bullet"/>
      <w:lvlText w:val="•"/>
      <w:lvlJc w:val="left"/>
      <w:pPr>
        <w:ind w:left="6800" w:hanging="274"/>
      </w:pPr>
      <w:rPr>
        <w:rFonts w:hint="default"/>
      </w:rPr>
    </w:lvl>
    <w:lvl w:ilvl="6" w:tplc="04F6C34A">
      <w:numFmt w:val="bullet"/>
      <w:lvlText w:val="•"/>
      <w:lvlJc w:val="left"/>
      <w:pPr>
        <w:ind w:left="7860" w:hanging="274"/>
      </w:pPr>
      <w:rPr>
        <w:rFonts w:hint="default"/>
      </w:rPr>
    </w:lvl>
    <w:lvl w:ilvl="7" w:tplc="88A0DD7A">
      <w:numFmt w:val="bullet"/>
      <w:lvlText w:val="•"/>
      <w:lvlJc w:val="left"/>
      <w:pPr>
        <w:ind w:left="8920" w:hanging="274"/>
      </w:pPr>
      <w:rPr>
        <w:rFonts w:hint="default"/>
      </w:rPr>
    </w:lvl>
    <w:lvl w:ilvl="8" w:tplc="1400A3BA">
      <w:numFmt w:val="bullet"/>
      <w:lvlText w:val="•"/>
      <w:lvlJc w:val="left"/>
      <w:pPr>
        <w:ind w:left="9980" w:hanging="274"/>
      </w:pPr>
      <w:rPr>
        <w:rFonts w:hint="default"/>
      </w:rPr>
    </w:lvl>
  </w:abstractNum>
  <w:abstractNum w:abstractNumId="4" w15:restartNumberingAfterBreak="0">
    <w:nsid w:val="7BAB17C5"/>
    <w:multiLevelType w:val="hybridMultilevel"/>
    <w:tmpl w:val="4CC4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E6"/>
    <w:rsid w:val="000214E6"/>
    <w:rsid w:val="006E71D3"/>
    <w:rsid w:val="00963590"/>
    <w:rsid w:val="009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1B8D"/>
  <w15:chartTrackingRefBased/>
  <w15:docId w15:val="{0CAC334A-A96D-4F57-B8C7-825CCFCD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214E6"/>
    <w:pPr>
      <w:widowControl w:val="0"/>
      <w:autoSpaceDE w:val="0"/>
      <w:autoSpaceDN w:val="0"/>
      <w:spacing w:before="94" w:after="0" w:line="240" w:lineRule="auto"/>
      <w:ind w:left="1154" w:hanging="206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214E6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214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214E6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0214E6"/>
    <w:pPr>
      <w:widowControl w:val="0"/>
      <w:autoSpaceDE w:val="0"/>
      <w:autoSpaceDN w:val="0"/>
      <w:spacing w:before="94" w:after="0" w:line="240" w:lineRule="auto"/>
      <w:ind w:left="1497" w:hanging="275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2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services/taxes/chariti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Rhyder John</dc:creator>
  <cp:keywords/>
  <dc:description/>
  <cp:lastModifiedBy>Evans, Rhyder John</cp:lastModifiedBy>
  <cp:revision>1</cp:revision>
  <dcterms:created xsi:type="dcterms:W3CDTF">2023-12-11T19:25:00Z</dcterms:created>
  <dcterms:modified xsi:type="dcterms:W3CDTF">2023-12-11T19:39:00Z</dcterms:modified>
</cp:coreProperties>
</file>