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62B8A4" w14:textId="77777777" w:rsidR="00EC67B5" w:rsidRDefault="00F53F23" w:rsidP="00ED1772">
      <w:pPr>
        <w:pStyle w:val="BodyText"/>
        <w:ind w:left="100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en-US" w:eastAsia="en-US" w:bidi="ar-SA"/>
        </w:rPr>
        <w:drawing>
          <wp:inline distT="0" distB="0" distL="0" distR="0" wp14:anchorId="69822029" wp14:editId="4018B450">
            <wp:extent cx="1122753" cy="909827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2753" cy="9098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503D3B" w14:textId="77777777" w:rsidR="00ED1772" w:rsidRDefault="00ED1772" w:rsidP="00ED1772">
      <w:pPr>
        <w:ind w:left="86"/>
        <w:jc w:val="center"/>
        <w:rPr>
          <w:b/>
          <w:sz w:val="26"/>
        </w:rPr>
      </w:pPr>
    </w:p>
    <w:p w14:paraId="149140BC" w14:textId="6B2AB99E" w:rsidR="00ED1772" w:rsidRDefault="00ED1772" w:rsidP="00ED1772">
      <w:pPr>
        <w:ind w:left="86"/>
        <w:jc w:val="center"/>
        <w:rPr>
          <w:b/>
          <w:sz w:val="26"/>
        </w:rPr>
      </w:pPr>
      <w:r>
        <w:rPr>
          <w:b/>
          <w:sz w:val="26"/>
        </w:rPr>
        <w:t xml:space="preserve">Policy </w:t>
      </w:r>
      <w:r w:rsidR="00F4698F">
        <w:rPr>
          <w:b/>
          <w:sz w:val="26"/>
        </w:rPr>
        <w:t>Oversight Committee</w:t>
      </w:r>
    </w:p>
    <w:p w14:paraId="631ECF7E" w14:textId="2EF1FD5A" w:rsidR="00EC67B5" w:rsidRDefault="00F53F23" w:rsidP="00ED1772">
      <w:pPr>
        <w:spacing w:after="240"/>
        <w:ind w:left="86"/>
        <w:jc w:val="center"/>
        <w:rPr>
          <w:b/>
          <w:sz w:val="26"/>
        </w:rPr>
      </w:pPr>
      <w:r>
        <w:rPr>
          <w:b/>
          <w:sz w:val="26"/>
        </w:rPr>
        <w:t>Terms of Reference</w:t>
      </w:r>
    </w:p>
    <w:p w14:paraId="300B0F48" w14:textId="77777777" w:rsidR="00EC67B5" w:rsidRPr="00ED1772" w:rsidRDefault="00F53F23" w:rsidP="00ED1772">
      <w:pPr>
        <w:pStyle w:val="Heading1"/>
        <w:spacing w:after="120"/>
        <w:ind w:left="101"/>
      </w:pPr>
      <w:r w:rsidRPr="00ED1772">
        <w:t>Preamble</w:t>
      </w:r>
    </w:p>
    <w:p w14:paraId="08A3277A" w14:textId="02E5CF69" w:rsidR="00EC67B5" w:rsidRPr="00ED1772" w:rsidRDefault="00F53F23" w:rsidP="00ED1772">
      <w:pPr>
        <w:pStyle w:val="BodyText"/>
        <w:ind w:left="100" w:right="485"/>
        <w:rPr>
          <w:sz w:val="22"/>
        </w:rPr>
      </w:pPr>
      <w:r w:rsidRPr="00ED1772">
        <w:rPr>
          <w:sz w:val="22"/>
        </w:rPr>
        <w:t xml:space="preserve">The Faculty of Medicine (FoM) Policy Framework indicates working groups are to be established for all policies being created or revised within the FoM. The Policy </w:t>
      </w:r>
      <w:r w:rsidR="00F4698F">
        <w:rPr>
          <w:sz w:val="22"/>
        </w:rPr>
        <w:t xml:space="preserve">Oversight </w:t>
      </w:r>
      <w:r w:rsidRPr="00ED1772">
        <w:rPr>
          <w:sz w:val="22"/>
        </w:rPr>
        <w:t>Committee is the designate</w:t>
      </w:r>
      <w:r w:rsidR="00114178">
        <w:rPr>
          <w:sz w:val="22"/>
        </w:rPr>
        <w:t>d working group for all faculty-</w:t>
      </w:r>
      <w:r w:rsidRPr="00ED1772">
        <w:rPr>
          <w:sz w:val="22"/>
        </w:rPr>
        <w:t>wide policies.</w:t>
      </w:r>
    </w:p>
    <w:p w14:paraId="762E2512" w14:textId="77777777" w:rsidR="00EC67B5" w:rsidRPr="00ED1772" w:rsidRDefault="00EC67B5" w:rsidP="00ED1772">
      <w:pPr>
        <w:pStyle w:val="BodyText"/>
        <w:ind w:left="0"/>
        <w:rPr>
          <w:sz w:val="22"/>
        </w:rPr>
      </w:pPr>
    </w:p>
    <w:p w14:paraId="635114C1" w14:textId="77777777" w:rsidR="00EC67B5" w:rsidRPr="00ED1772" w:rsidRDefault="00F53F23" w:rsidP="00ED1772">
      <w:pPr>
        <w:pStyle w:val="Heading1"/>
        <w:spacing w:after="120"/>
        <w:ind w:left="101"/>
      </w:pPr>
      <w:r w:rsidRPr="00ED1772">
        <w:t>Purpose</w:t>
      </w:r>
    </w:p>
    <w:p w14:paraId="71AF08CA" w14:textId="77777777" w:rsidR="00EC67B5" w:rsidRPr="00ED1772" w:rsidRDefault="00F53F23" w:rsidP="00ED1772">
      <w:pPr>
        <w:pStyle w:val="BodyText"/>
        <w:ind w:left="100"/>
        <w:rPr>
          <w:sz w:val="22"/>
        </w:rPr>
      </w:pPr>
      <w:r w:rsidRPr="00ED1772">
        <w:rPr>
          <w:sz w:val="22"/>
        </w:rPr>
        <w:t>To provide oversight and guidance to the Policy Analyst during policy development.</w:t>
      </w:r>
    </w:p>
    <w:p w14:paraId="62F11FA6" w14:textId="77777777" w:rsidR="00EC67B5" w:rsidRPr="00ED1772" w:rsidRDefault="00EC67B5" w:rsidP="00ED1772">
      <w:pPr>
        <w:pStyle w:val="BodyText"/>
        <w:ind w:left="0"/>
        <w:rPr>
          <w:sz w:val="22"/>
        </w:rPr>
      </w:pPr>
    </w:p>
    <w:p w14:paraId="5757FD4B" w14:textId="77777777" w:rsidR="00EC67B5" w:rsidRPr="00ED1772" w:rsidRDefault="00F53F23" w:rsidP="00ED1772">
      <w:pPr>
        <w:pStyle w:val="Heading1"/>
        <w:spacing w:after="120"/>
        <w:ind w:left="101"/>
      </w:pPr>
      <w:r w:rsidRPr="00ED1772">
        <w:t>Membership</w:t>
      </w:r>
    </w:p>
    <w:p w14:paraId="53F673B4" w14:textId="731AF8C1" w:rsidR="00EC67B5" w:rsidRPr="00ED1772" w:rsidRDefault="007B29C4" w:rsidP="00ED1772">
      <w:pPr>
        <w:pStyle w:val="ListParagraph"/>
        <w:numPr>
          <w:ilvl w:val="0"/>
          <w:numId w:val="1"/>
        </w:numPr>
        <w:ind w:left="540" w:hanging="361"/>
      </w:pPr>
      <w:r>
        <w:t>Vice Dean, Education and Faculty Affairs</w:t>
      </w:r>
    </w:p>
    <w:p w14:paraId="30C1B5BB" w14:textId="77777777" w:rsidR="00EC67B5" w:rsidRPr="00ED1772" w:rsidRDefault="00F53F23" w:rsidP="00ED1772">
      <w:pPr>
        <w:pStyle w:val="ListParagraph"/>
        <w:numPr>
          <w:ilvl w:val="0"/>
          <w:numId w:val="1"/>
        </w:numPr>
        <w:ind w:left="540" w:hanging="361"/>
      </w:pPr>
      <w:r w:rsidRPr="00ED1772">
        <w:t>Chief Operating</w:t>
      </w:r>
      <w:r w:rsidRPr="00ED1772">
        <w:rPr>
          <w:spacing w:val="1"/>
        </w:rPr>
        <w:t xml:space="preserve"> </w:t>
      </w:r>
      <w:r w:rsidRPr="00ED1772">
        <w:t>Officer</w:t>
      </w:r>
    </w:p>
    <w:p w14:paraId="12658BA5" w14:textId="77777777" w:rsidR="00EC67B5" w:rsidRPr="00ED1772" w:rsidRDefault="00F53F23" w:rsidP="00ED1772">
      <w:pPr>
        <w:pStyle w:val="ListParagraph"/>
        <w:numPr>
          <w:ilvl w:val="0"/>
          <w:numId w:val="1"/>
        </w:numPr>
        <w:ind w:left="540" w:hanging="361"/>
      </w:pPr>
      <w:r w:rsidRPr="00ED1772">
        <w:t>Manager of Academic</w:t>
      </w:r>
      <w:r w:rsidRPr="00ED1772">
        <w:rPr>
          <w:spacing w:val="-1"/>
        </w:rPr>
        <w:t xml:space="preserve"> </w:t>
      </w:r>
      <w:r w:rsidRPr="00ED1772">
        <w:t>Affairs</w:t>
      </w:r>
    </w:p>
    <w:p w14:paraId="5CAB0212" w14:textId="77777777" w:rsidR="00EC67B5" w:rsidRPr="00ED1772" w:rsidRDefault="00F53F23" w:rsidP="00ED1772">
      <w:pPr>
        <w:pStyle w:val="ListParagraph"/>
        <w:numPr>
          <w:ilvl w:val="0"/>
          <w:numId w:val="1"/>
        </w:numPr>
        <w:ind w:left="540" w:hanging="361"/>
      </w:pPr>
      <w:r w:rsidRPr="00ED1772">
        <w:t>Policy Analyst</w:t>
      </w:r>
    </w:p>
    <w:p w14:paraId="277B512B" w14:textId="77777777" w:rsidR="000607C5" w:rsidRDefault="000607C5" w:rsidP="00ED1772">
      <w:pPr>
        <w:pStyle w:val="ListParagraph"/>
        <w:numPr>
          <w:ilvl w:val="0"/>
          <w:numId w:val="1"/>
        </w:numPr>
        <w:ind w:left="540" w:hanging="361"/>
      </w:pPr>
      <w:r w:rsidRPr="00ED1772">
        <w:t>Policy Coordinator</w:t>
      </w:r>
    </w:p>
    <w:p w14:paraId="104387C6" w14:textId="2F744EDA" w:rsidR="00F4698F" w:rsidRDefault="00F83F9A" w:rsidP="00ED1772">
      <w:pPr>
        <w:pStyle w:val="ListParagraph"/>
        <w:numPr>
          <w:ilvl w:val="0"/>
          <w:numId w:val="1"/>
        </w:numPr>
        <w:ind w:left="540" w:hanging="361"/>
      </w:pPr>
      <w:r>
        <w:t xml:space="preserve">Senior Policy Analyst, </w:t>
      </w:r>
      <w:r w:rsidR="00C111E5">
        <w:t xml:space="preserve">PEI </w:t>
      </w:r>
      <w:r>
        <w:t>R</w:t>
      </w:r>
      <w:r w:rsidR="00C111E5">
        <w:t xml:space="preserve">egional </w:t>
      </w:r>
      <w:r>
        <w:t>C</w:t>
      </w:r>
      <w:r w:rsidR="00C111E5">
        <w:t xml:space="preserve">ampus  </w:t>
      </w:r>
    </w:p>
    <w:p w14:paraId="69E5CB72" w14:textId="775BAA00" w:rsidR="00C111E5" w:rsidRPr="00ED1772" w:rsidRDefault="00C111E5" w:rsidP="00ED1772">
      <w:pPr>
        <w:pStyle w:val="ListParagraph"/>
        <w:numPr>
          <w:ilvl w:val="0"/>
          <w:numId w:val="1"/>
        </w:numPr>
        <w:ind w:left="540" w:hanging="361"/>
      </w:pPr>
      <w:r>
        <w:t>Manager, University Policy Framework</w:t>
      </w:r>
    </w:p>
    <w:p w14:paraId="40E5B64A" w14:textId="77777777" w:rsidR="00EC67B5" w:rsidRPr="00ED1772" w:rsidRDefault="00EC67B5" w:rsidP="00ED1772">
      <w:pPr>
        <w:pStyle w:val="BodyText"/>
        <w:ind w:left="0"/>
        <w:rPr>
          <w:sz w:val="20"/>
        </w:rPr>
      </w:pPr>
    </w:p>
    <w:p w14:paraId="478EFC4A" w14:textId="77777777" w:rsidR="00EC67B5" w:rsidRPr="00ED1772" w:rsidRDefault="00F53F23" w:rsidP="00ED1772">
      <w:pPr>
        <w:pStyle w:val="Heading1"/>
        <w:spacing w:after="120"/>
        <w:ind w:left="101"/>
      </w:pPr>
      <w:r w:rsidRPr="00ED1772">
        <w:t>Operations</w:t>
      </w:r>
    </w:p>
    <w:p w14:paraId="4462F006" w14:textId="77777777" w:rsidR="00EC67B5" w:rsidRPr="00ED1772" w:rsidRDefault="00F53F23" w:rsidP="00ED1772">
      <w:pPr>
        <w:pStyle w:val="ListParagraph"/>
        <w:numPr>
          <w:ilvl w:val="0"/>
          <w:numId w:val="1"/>
        </w:numPr>
        <w:ind w:left="540" w:hanging="361"/>
      </w:pPr>
      <w:r w:rsidRPr="00ED1772">
        <w:t>The committee shall meet monthly or at the call of the Policy</w:t>
      </w:r>
      <w:r w:rsidRPr="00ED1772">
        <w:rPr>
          <w:spacing w:val="-5"/>
        </w:rPr>
        <w:t xml:space="preserve"> </w:t>
      </w:r>
      <w:r w:rsidRPr="00ED1772">
        <w:t>Analyst.</w:t>
      </w:r>
    </w:p>
    <w:p w14:paraId="229EFB56" w14:textId="77777777" w:rsidR="00EC67B5" w:rsidRPr="00ED1772" w:rsidRDefault="00F53F23" w:rsidP="00ED1772">
      <w:pPr>
        <w:pStyle w:val="ListParagraph"/>
        <w:numPr>
          <w:ilvl w:val="0"/>
          <w:numId w:val="1"/>
        </w:numPr>
        <w:ind w:left="540" w:hanging="361"/>
      </w:pPr>
      <w:r w:rsidRPr="00ED1772">
        <w:t>A written record of decision and action items of the committee will be</w:t>
      </w:r>
      <w:r w:rsidRPr="00ED1772">
        <w:rPr>
          <w:spacing w:val="-7"/>
        </w:rPr>
        <w:t xml:space="preserve"> </w:t>
      </w:r>
      <w:r w:rsidRPr="00ED1772">
        <w:t>kept.</w:t>
      </w:r>
    </w:p>
    <w:p w14:paraId="481CCDF6" w14:textId="77777777" w:rsidR="00EC67B5" w:rsidRPr="00ED1772" w:rsidRDefault="00F53F23" w:rsidP="00ED1772">
      <w:pPr>
        <w:pStyle w:val="ListParagraph"/>
        <w:numPr>
          <w:ilvl w:val="0"/>
          <w:numId w:val="1"/>
        </w:numPr>
        <w:ind w:left="540" w:hanging="361"/>
      </w:pPr>
      <w:r w:rsidRPr="00ED1772">
        <w:t>Decisions are achieved by consensus.</w:t>
      </w:r>
    </w:p>
    <w:p w14:paraId="1416274B" w14:textId="198EB002" w:rsidR="00EC67B5" w:rsidRPr="00ED1772" w:rsidRDefault="00114178" w:rsidP="00ED1772">
      <w:pPr>
        <w:pStyle w:val="ListParagraph"/>
        <w:numPr>
          <w:ilvl w:val="0"/>
          <w:numId w:val="1"/>
        </w:numPr>
        <w:ind w:left="540" w:right="307"/>
      </w:pPr>
      <w:r>
        <w:t>The Terms of Reference for</w:t>
      </w:r>
      <w:r w:rsidR="00F53F23" w:rsidRPr="00ED1772">
        <w:t xml:space="preserve"> the committee will be reviewed at least every </w:t>
      </w:r>
      <w:r>
        <w:t>three (</w:t>
      </w:r>
      <w:r w:rsidR="00F53F23" w:rsidRPr="00ED1772">
        <w:t>3</w:t>
      </w:r>
      <w:r>
        <w:t>)</w:t>
      </w:r>
      <w:r w:rsidR="00F53F23" w:rsidRPr="00ED1772">
        <w:t xml:space="preserve"> years, or as needed.</w:t>
      </w:r>
    </w:p>
    <w:p w14:paraId="30EE2251" w14:textId="77777777" w:rsidR="00EC67B5" w:rsidRPr="00ED1772" w:rsidRDefault="00EC67B5" w:rsidP="00ED1772">
      <w:pPr>
        <w:pStyle w:val="BodyText"/>
        <w:ind w:left="0"/>
        <w:rPr>
          <w:sz w:val="22"/>
        </w:rPr>
      </w:pPr>
    </w:p>
    <w:p w14:paraId="3F7B4C82" w14:textId="2768DC3A" w:rsidR="00EC67B5" w:rsidRDefault="00F53F23" w:rsidP="00ED1772">
      <w:pPr>
        <w:pStyle w:val="Heading1"/>
        <w:spacing w:after="120"/>
        <w:ind w:left="101"/>
      </w:pPr>
      <w:r w:rsidRPr="00ED1772">
        <w:t>Responsibilities</w:t>
      </w:r>
    </w:p>
    <w:p w14:paraId="42866ADC" w14:textId="65D003FB" w:rsidR="00AC4936" w:rsidRDefault="00AC4936" w:rsidP="00AC4936">
      <w:pPr>
        <w:pStyle w:val="ListParagraph"/>
        <w:numPr>
          <w:ilvl w:val="0"/>
          <w:numId w:val="1"/>
        </w:numPr>
        <w:spacing w:line="305" w:lineRule="exact"/>
        <w:ind w:left="540" w:hanging="361"/>
        <w:rPr>
          <w:sz w:val="24"/>
        </w:rPr>
      </w:pPr>
      <w:r w:rsidRPr="0097745A">
        <w:rPr>
          <w:sz w:val="24"/>
        </w:rPr>
        <w:t xml:space="preserve">Ensure policies are aligned with EDI-AR </w:t>
      </w:r>
      <w:r>
        <w:rPr>
          <w:sz w:val="24"/>
        </w:rPr>
        <w:t>and Indigenization frameworks</w:t>
      </w:r>
      <w:r w:rsidR="00A116CD">
        <w:rPr>
          <w:sz w:val="24"/>
        </w:rPr>
        <w:t>, guidlines</w:t>
      </w:r>
      <w:r>
        <w:rPr>
          <w:sz w:val="24"/>
        </w:rPr>
        <w:t xml:space="preserve"> and </w:t>
      </w:r>
      <w:r w:rsidRPr="0097745A">
        <w:rPr>
          <w:sz w:val="24"/>
        </w:rPr>
        <w:t xml:space="preserve">strategies. </w:t>
      </w:r>
      <w:r>
        <w:rPr>
          <w:sz w:val="24"/>
        </w:rPr>
        <w:t>This includes reviewing p</w:t>
      </w:r>
      <w:r w:rsidRPr="0097745A">
        <w:rPr>
          <w:sz w:val="24"/>
        </w:rPr>
        <w:t xml:space="preserve">olicies, practices and guidelines </w:t>
      </w:r>
      <w:r>
        <w:rPr>
          <w:sz w:val="24"/>
        </w:rPr>
        <w:t xml:space="preserve">to assess potential </w:t>
      </w:r>
      <w:r w:rsidRPr="0097745A">
        <w:rPr>
          <w:sz w:val="24"/>
        </w:rPr>
        <w:t xml:space="preserve">impacts on equity-deserving group members. </w:t>
      </w:r>
    </w:p>
    <w:p w14:paraId="39BE60E0" w14:textId="5BFE30DB" w:rsidR="00AC4936" w:rsidRPr="0097745A" w:rsidRDefault="00AC4936" w:rsidP="00AC4936">
      <w:pPr>
        <w:pStyle w:val="ListParagraph"/>
        <w:numPr>
          <w:ilvl w:val="0"/>
          <w:numId w:val="1"/>
        </w:numPr>
        <w:spacing w:line="305" w:lineRule="exact"/>
        <w:ind w:left="540" w:hanging="361"/>
        <w:rPr>
          <w:sz w:val="24"/>
        </w:rPr>
      </w:pPr>
      <w:r>
        <w:rPr>
          <w:sz w:val="24"/>
        </w:rPr>
        <w:t xml:space="preserve">Ensure that </w:t>
      </w:r>
      <w:r w:rsidRPr="0097745A">
        <w:rPr>
          <w:sz w:val="24"/>
        </w:rPr>
        <w:t xml:space="preserve">health and wellness </w:t>
      </w:r>
      <w:r>
        <w:rPr>
          <w:sz w:val="24"/>
        </w:rPr>
        <w:t xml:space="preserve">considerations are embedded </w:t>
      </w:r>
      <w:r w:rsidRPr="0097745A">
        <w:rPr>
          <w:sz w:val="24"/>
        </w:rPr>
        <w:t xml:space="preserve">into </w:t>
      </w:r>
      <w:r>
        <w:rPr>
          <w:sz w:val="24"/>
        </w:rPr>
        <w:t xml:space="preserve">all phases of policy development </w:t>
      </w:r>
      <w:r w:rsidR="00A116CD">
        <w:rPr>
          <w:sz w:val="24"/>
        </w:rPr>
        <w:t xml:space="preserve">(e.g., </w:t>
      </w:r>
      <w:r w:rsidR="00C70AD4">
        <w:rPr>
          <w:sz w:val="24"/>
        </w:rPr>
        <w:t>as d</w:t>
      </w:r>
      <w:r>
        <w:rPr>
          <w:sz w:val="24"/>
        </w:rPr>
        <w:t>etailed in t</w:t>
      </w:r>
      <w:r w:rsidRPr="0097745A">
        <w:rPr>
          <w:sz w:val="24"/>
        </w:rPr>
        <w:t>he Okanagan Charter: An International Charter for Health Promoting Universities and Colleges</w:t>
      </w:r>
      <w:r w:rsidR="00A116CD">
        <w:rPr>
          <w:sz w:val="24"/>
        </w:rPr>
        <w:t>)</w:t>
      </w:r>
      <w:r>
        <w:rPr>
          <w:sz w:val="24"/>
        </w:rPr>
        <w:t>.</w:t>
      </w:r>
    </w:p>
    <w:p w14:paraId="57973AE1" w14:textId="5266346E" w:rsidR="00AC4936" w:rsidRDefault="00AC4936" w:rsidP="00AC4936">
      <w:pPr>
        <w:pStyle w:val="ListParagraph"/>
        <w:numPr>
          <w:ilvl w:val="0"/>
          <w:numId w:val="1"/>
        </w:numPr>
        <w:spacing w:line="305" w:lineRule="exact"/>
        <w:ind w:left="540" w:hanging="361"/>
        <w:rPr>
          <w:sz w:val="24"/>
        </w:rPr>
      </w:pPr>
      <w:r>
        <w:rPr>
          <w:sz w:val="24"/>
        </w:rPr>
        <w:t xml:space="preserve">Ensure a coordinated and consistent process is in place for the development, approval and dissemination of </w:t>
      </w:r>
      <w:proofErr w:type="spellStart"/>
      <w:r>
        <w:rPr>
          <w:sz w:val="24"/>
        </w:rPr>
        <w:t>FoM</w:t>
      </w:r>
      <w:proofErr w:type="spellEnd"/>
      <w:r>
        <w:rPr>
          <w:sz w:val="24"/>
        </w:rPr>
        <w:t xml:space="preserve"> policies, procedures and</w:t>
      </w:r>
      <w:r w:rsidRPr="00AC4936">
        <w:rPr>
          <w:sz w:val="24"/>
        </w:rPr>
        <w:t xml:space="preserve"> </w:t>
      </w:r>
      <w:r>
        <w:rPr>
          <w:sz w:val="24"/>
        </w:rPr>
        <w:t>guidelines.</w:t>
      </w:r>
    </w:p>
    <w:p w14:paraId="5FBAAAD8" w14:textId="77777777" w:rsidR="00AC4936" w:rsidRDefault="00AC4936" w:rsidP="00AC4936">
      <w:pPr>
        <w:pStyle w:val="ListParagraph"/>
        <w:numPr>
          <w:ilvl w:val="0"/>
          <w:numId w:val="1"/>
        </w:numPr>
        <w:spacing w:line="305" w:lineRule="exact"/>
        <w:ind w:left="540" w:hanging="361"/>
        <w:rPr>
          <w:sz w:val="24"/>
        </w:rPr>
      </w:pPr>
      <w:r>
        <w:rPr>
          <w:sz w:val="24"/>
        </w:rPr>
        <w:t>Ensure all processes are compliant with Memorial University’s “</w:t>
      </w:r>
      <w:r w:rsidRPr="008B4BB2">
        <w:rPr>
          <w:sz w:val="24"/>
        </w:rPr>
        <w:t>Development, Approval and Administration of University Policies</w:t>
      </w:r>
      <w:r>
        <w:rPr>
          <w:sz w:val="24"/>
        </w:rPr>
        <w:t>”</w:t>
      </w:r>
      <w:r w:rsidRPr="008B4BB2">
        <w:rPr>
          <w:sz w:val="24"/>
        </w:rPr>
        <w:t xml:space="preserve"> </w:t>
      </w:r>
      <w:r>
        <w:rPr>
          <w:sz w:val="24"/>
        </w:rPr>
        <w:t>document.</w:t>
      </w:r>
    </w:p>
    <w:p w14:paraId="173909E5" w14:textId="010C9D54" w:rsidR="00AC4936" w:rsidRDefault="00AC4936" w:rsidP="00AC4936">
      <w:pPr>
        <w:pStyle w:val="ListParagraph"/>
        <w:numPr>
          <w:ilvl w:val="0"/>
          <w:numId w:val="1"/>
        </w:numPr>
        <w:spacing w:line="305" w:lineRule="exact"/>
        <w:ind w:left="540" w:hanging="361"/>
        <w:rPr>
          <w:sz w:val="24"/>
        </w:rPr>
      </w:pPr>
      <w:r>
        <w:rPr>
          <w:sz w:val="24"/>
        </w:rPr>
        <w:t>Ensure all Faculty of Medicine policies align with existing</w:t>
      </w:r>
      <w:r w:rsidRPr="00AC4936">
        <w:rPr>
          <w:sz w:val="24"/>
        </w:rPr>
        <w:t xml:space="preserve"> </w:t>
      </w:r>
      <w:r>
        <w:rPr>
          <w:sz w:val="24"/>
        </w:rPr>
        <w:t>Memorial University policies and regulations.</w:t>
      </w:r>
    </w:p>
    <w:p w14:paraId="44D453BA" w14:textId="06A79B67" w:rsidR="00AC4936" w:rsidRDefault="00AC4936" w:rsidP="00AC4936">
      <w:pPr>
        <w:spacing w:line="305" w:lineRule="exact"/>
        <w:rPr>
          <w:sz w:val="24"/>
        </w:rPr>
      </w:pPr>
    </w:p>
    <w:p w14:paraId="670167DA" w14:textId="77777777" w:rsidR="00AC4936" w:rsidRPr="00AC4936" w:rsidRDefault="00AC4936" w:rsidP="00AC4936">
      <w:pPr>
        <w:spacing w:line="305" w:lineRule="exact"/>
        <w:rPr>
          <w:sz w:val="24"/>
        </w:rPr>
      </w:pPr>
    </w:p>
    <w:p w14:paraId="023D5F7A" w14:textId="1A0E6DF9" w:rsidR="00AC4936" w:rsidRDefault="00AC4936" w:rsidP="00AC4936">
      <w:pPr>
        <w:pStyle w:val="ListParagraph"/>
        <w:numPr>
          <w:ilvl w:val="0"/>
          <w:numId w:val="1"/>
        </w:numPr>
        <w:ind w:left="567" w:right="107" w:hanging="425"/>
        <w:rPr>
          <w:sz w:val="24"/>
        </w:rPr>
      </w:pPr>
      <w:r>
        <w:rPr>
          <w:sz w:val="24"/>
        </w:rPr>
        <w:t>Review faculty-wide policies and provide feedback to the Policy Analyst during all phases of policy</w:t>
      </w:r>
      <w:r w:rsidRPr="00AC4936">
        <w:rPr>
          <w:sz w:val="24"/>
        </w:rPr>
        <w:t xml:space="preserve"> </w:t>
      </w:r>
      <w:r>
        <w:rPr>
          <w:sz w:val="24"/>
        </w:rPr>
        <w:t>development and revision.</w:t>
      </w:r>
    </w:p>
    <w:p w14:paraId="0784712A" w14:textId="77777777" w:rsidR="00AC4936" w:rsidRDefault="00AC4936" w:rsidP="00AC4936">
      <w:pPr>
        <w:pStyle w:val="ListParagraph"/>
        <w:numPr>
          <w:ilvl w:val="0"/>
          <w:numId w:val="1"/>
        </w:numPr>
        <w:spacing w:before="6"/>
        <w:ind w:left="567" w:right="551"/>
        <w:rPr>
          <w:sz w:val="24"/>
        </w:rPr>
      </w:pPr>
      <w:r>
        <w:rPr>
          <w:sz w:val="24"/>
        </w:rPr>
        <w:t xml:space="preserve">Provide guidance to the Policy Analyst regarding who in the </w:t>
      </w:r>
      <w:proofErr w:type="spellStart"/>
      <w:r>
        <w:rPr>
          <w:sz w:val="24"/>
        </w:rPr>
        <w:t>FoM</w:t>
      </w:r>
      <w:proofErr w:type="spellEnd"/>
      <w:r>
        <w:rPr>
          <w:sz w:val="24"/>
        </w:rPr>
        <w:t xml:space="preserve"> should be involved with specific policy review</w:t>
      </w:r>
      <w:r w:rsidRPr="00AC4936">
        <w:rPr>
          <w:sz w:val="24"/>
        </w:rPr>
        <w:t xml:space="preserve"> </w:t>
      </w:r>
      <w:r>
        <w:rPr>
          <w:sz w:val="24"/>
        </w:rPr>
        <w:t>processes.</w:t>
      </w:r>
    </w:p>
    <w:p w14:paraId="7EF60151" w14:textId="77777777" w:rsidR="00AC4936" w:rsidRDefault="00AC4936" w:rsidP="00AC4936">
      <w:pPr>
        <w:pStyle w:val="ListParagraph"/>
        <w:numPr>
          <w:ilvl w:val="0"/>
          <w:numId w:val="1"/>
        </w:numPr>
        <w:spacing w:line="305" w:lineRule="exact"/>
        <w:ind w:left="567" w:hanging="361"/>
        <w:rPr>
          <w:sz w:val="24"/>
        </w:rPr>
      </w:pPr>
      <w:r>
        <w:rPr>
          <w:sz w:val="24"/>
        </w:rPr>
        <w:t>Stay informed on all ongoing policy developments and revisions within the</w:t>
      </w:r>
      <w:r w:rsidRPr="00AC4936">
        <w:rPr>
          <w:sz w:val="24"/>
        </w:rPr>
        <w:t xml:space="preserve"> </w:t>
      </w:r>
      <w:proofErr w:type="spellStart"/>
      <w:r>
        <w:rPr>
          <w:sz w:val="24"/>
        </w:rPr>
        <w:t>FoM</w:t>
      </w:r>
      <w:proofErr w:type="spellEnd"/>
      <w:r>
        <w:rPr>
          <w:sz w:val="24"/>
        </w:rPr>
        <w:t>.</w:t>
      </w:r>
    </w:p>
    <w:p w14:paraId="3E9D85F0" w14:textId="77777777" w:rsidR="00AC4936" w:rsidRDefault="00AC4936" w:rsidP="00AC4936">
      <w:pPr>
        <w:spacing w:line="305" w:lineRule="exact"/>
        <w:rPr>
          <w:sz w:val="24"/>
        </w:rPr>
      </w:pPr>
    </w:p>
    <w:p w14:paraId="5E2FCF4A" w14:textId="77777777" w:rsidR="006324AE" w:rsidRDefault="006324AE" w:rsidP="00AC4936">
      <w:pPr>
        <w:spacing w:line="305" w:lineRule="exact"/>
        <w:rPr>
          <w:sz w:val="24"/>
        </w:rPr>
      </w:pPr>
    </w:p>
    <w:p w14:paraId="34EAB2EF" w14:textId="77777777" w:rsidR="006324AE" w:rsidRDefault="006324AE" w:rsidP="00AC4936">
      <w:pPr>
        <w:spacing w:line="305" w:lineRule="exact"/>
        <w:rPr>
          <w:sz w:val="24"/>
        </w:rPr>
      </w:pPr>
    </w:p>
    <w:p w14:paraId="54BA0FB0" w14:textId="77777777" w:rsidR="006324AE" w:rsidRDefault="006324AE" w:rsidP="00AC4936">
      <w:pPr>
        <w:spacing w:line="305" w:lineRule="exact"/>
        <w:rPr>
          <w:sz w:val="24"/>
        </w:rPr>
      </w:pPr>
    </w:p>
    <w:p w14:paraId="60341283" w14:textId="77777777" w:rsidR="006324AE" w:rsidRDefault="006324AE" w:rsidP="00AC4936">
      <w:pPr>
        <w:spacing w:line="305" w:lineRule="exact"/>
        <w:rPr>
          <w:sz w:val="24"/>
        </w:rPr>
      </w:pPr>
    </w:p>
    <w:p w14:paraId="3509B40A" w14:textId="77777777" w:rsidR="006324AE" w:rsidRDefault="006324AE" w:rsidP="00AC4936">
      <w:pPr>
        <w:spacing w:line="305" w:lineRule="exact"/>
        <w:rPr>
          <w:sz w:val="24"/>
        </w:rPr>
      </w:pPr>
    </w:p>
    <w:p w14:paraId="2A5884C7" w14:textId="77777777" w:rsidR="006324AE" w:rsidRDefault="006324AE" w:rsidP="00AC4936">
      <w:pPr>
        <w:spacing w:line="305" w:lineRule="exact"/>
        <w:rPr>
          <w:sz w:val="24"/>
        </w:rPr>
      </w:pPr>
    </w:p>
    <w:p w14:paraId="62A6BA30" w14:textId="77777777" w:rsidR="006324AE" w:rsidRDefault="006324AE" w:rsidP="00AC4936">
      <w:pPr>
        <w:spacing w:line="305" w:lineRule="exact"/>
        <w:rPr>
          <w:sz w:val="24"/>
        </w:rPr>
      </w:pPr>
    </w:p>
    <w:p w14:paraId="3F9FC2EB" w14:textId="77777777" w:rsidR="006324AE" w:rsidRDefault="006324AE" w:rsidP="00AC4936">
      <w:pPr>
        <w:spacing w:line="305" w:lineRule="exact"/>
        <w:rPr>
          <w:sz w:val="24"/>
        </w:rPr>
      </w:pPr>
    </w:p>
    <w:p w14:paraId="4358812D" w14:textId="77777777" w:rsidR="006324AE" w:rsidRDefault="006324AE" w:rsidP="00AC4936">
      <w:pPr>
        <w:spacing w:line="305" w:lineRule="exact"/>
        <w:rPr>
          <w:sz w:val="24"/>
        </w:rPr>
      </w:pPr>
    </w:p>
    <w:p w14:paraId="50F53EAD" w14:textId="77777777" w:rsidR="006324AE" w:rsidRDefault="006324AE" w:rsidP="00AC4936">
      <w:pPr>
        <w:spacing w:line="305" w:lineRule="exact"/>
        <w:rPr>
          <w:sz w:val="24"/>
        </w:rPr>
      </w:pPr>
    </w:p>
    <w:p w14:paraId="1DB22E0E" w14:textId="77777777" w:rsidR="006324AE" w:rsidRDefault="006324AE" w:rsidP="00AC4936">
      <w:pPr>
        <w:spacing w:line="305" w:lineRule="exact"/>
        <w:rPr>
          <w:sz w:val="24"/>
        </w:rPr>
      </w:pPr>
    </w:p>
    <w:p w14:paraId="55246C41" w14:textId="77777777" w:rsidR="006324AE" w:rsidRDefault="006324AE" w:rsidP="00AC4936">
      <w:pPr>
        <w:spacing w:line="305" w:lineRule="exact"/>
        <w:rPr>
          <w:sz w:val="24"/>
        </w:rPr>
      </w:pPr>
    </w:p>
    <w:p w14:paraId="1E2E9986" w14:textId="77777777" w:rsidR="006324AE" w:rsidRDefault="006324AE" w:rsidP="00AC4936">
      <w:pPr>
        <w:spacing w:line="305" w:lineRule="exact"/>
        <w:rPr>
          <w:sz w:val="24"/>
        </w:rPr>
      </w:pPr>
    </w:p>
    <w:p w14:paraId="13B81EE5" w14:textId="77777777" w:rsidR="006324AE" w:rsidRDefault="006324AE" w:rsidP="00AC4936">
      <w:pPr>
        <w:spacing w:line="305" w:lineRule="exact"/>
        <w:rPr>
          <w:sz w:val="24"/>
        </w:rPr>
      </w:pPr>
    </w:p>
    <w:p w14:paraId="45AA4433" w14:textId="77777777" w:rsidR="006324AE" w:rsidRDefault="006324AE" w:rsidP="00AC4936">
      <w:pPr>
        <w:spacing w:line="305" w:lineRule="exact"/>
        <w:rPr>
          <w:sz w:val="24"/>
        </w:rPr>
      </w:pPr>
    </w:p>
    <w:p w14:paraId="21C4B38F" w14:textId="77777777" w:rsidR="006324AE" w:rsidRDefault="006324AE" w:rsidP="00AC4936">
      <w:pPr>
        <w:spacing w:line="305" w:lineRule="exact"/>
        <w:rPr>
          <w:sz w:val="24"/>
        </w:rPr>
      </w:pPr>
    </w:p>
    <w:p w14:paraId="54E5F6E2" w14:textId="77777777" w:rsidR="006324AE" w:rsidRDefault="006324AE" w:rsidP="00AC4936">
      <w:pPr>
        <w:spacing w:line="305" w:lineRule="exact"/>
        <w:rPr>
          <w:sz w:val="24"/>
        </w:rPr>
      </w:pPr>
    </w:p>
    <w:p w14:paraId="645FC622" w14:textId="77777777" w:rsidR="006324AE" w:rsidRDefault="006324AE" w:rsidP="00AC4936">
      <w:pPr>
        <w:spacing w:line="305" w:lineRule="exact"/>
        <w:rPr>
          <w:sz w:val="24"/>
        </w:rPr>
      </w:pPr>
    </w:p>
    <w:p w14:paraId="5C66611F" w14:textId="77777777" w:rsidR="006324AE" w:rsidRDefault="006324AE" w:rsidP="00AC4936">
      <w:pPr>
        <w:spacing w:line="305" w:lineRule="exact"/>
        <w:rPr>
          <w:sz w:val="24"/>
        </w:rPr>
      </w:pPr>
    </w:p>
    <w:p w14:paraId="0CFCA3D3" w14:textId="77777777" w:rsidR="006324AE" w:rsidRDefault="006324AE" w:rsidP="00AC4936">
      <w:pPr>
        <w:spacing w:line="305" w:lineRule="exact"/>
        <w:rPr>
          <w:sz w:val="24"/>
        </w:rPr>
      </w:pPr>
    </w:p>
    <w:p w14:paraId="61FF092D" w14:textId="77777777" w:rsidR="006324AE" w:rsidRDefault="006324AE" w:rsidP="00AC4936">
      <w:pPr>
        <w:spacing w:line="305" w:lineRule="exact"/>
        <w:rPr>
          <w:sz w:val="24"/>
        </w:rPr>
      </w:pPr>
    </w:p>
    <w:p w14:paraId="4E0C706F" w14:textId="77777777" w:rsidR="006324AE" w:rsidRDefault="006324AE" w:rsidP="00AC4936">
      <w:pPr>
        <w:spacing w:line="305" w:lineRule="exact"/>
        <w:rPr>
          <w:sz w:val="24"/>
        </w:rPr>
      </w:pPr>
    </w:p>
    <w:p w14:paraId="5BA518EE" w14:textId="77777777" w:rsidR="006324AE" w:rsidRDefault="006324AE" w:rsidP="00AC4936">
      <w:pPr>
        <w:spacing w:line="305" w:lineRule="exact"/>
        <w:rPr>
          <w:sz w:val="24"/>
        </w:rPr>
      </w:pPr>
    </w:p>
    <w:p w14:paraId="6E96E86B" w14:textId="77777777" w:rsidR="006324AE" w:rsidRDefault="006324AE" w:rsidP="00AC4936">
      <w:pPr>
        <w:spacing w:line="305" w:lineRule="exact"/>
        <w:rPr>
          <w:sz w:val="24"/>
        </w:rPr>
      </w:pPr>
    </w:p>
    <w:p w14:paraId="1799AFF7" w14:textId="77777777" w:rsidR="006324AE" w:rsidRDefault="006324AE" w:rsidP="00AC4936">
      <w:pPr>
        <w:spacing w:line="305" w:lineRule="exact"/>
        <w:rPr>
          <w:sz w:val="24"/>
        </w:rPr>
      </w:pPr>
    </w:p>
    <w:p w14:paraId="6E452CBD" w14:textId="77777777" w:rsidR="006324AE" w:rsidRDefault="006324AE" w:rsidP="00AC4936">
      <w:pPr>
        <w:spacing w:line="305" w:lineRule="exact"/>
        <w:rPr>
          <w:sz w:val="24"/>
        </w:rPr>
      </w:pPr>
    </w:p>
    <w:p w14:paraId="14988C80" w14:textId="77777777" w:rsidR="006324AE" w:rsidRDefault="006324AE" w:rsidP="00AC4936">
      <w:pPr>
        <w:spacing w:line="305" w:lineRule="exact"/>
        <w:rPr>
          <w:sz w:val="24"/>
        </w:rPr>
      </w:pPr>
    </w:p>
    <w:p w14:paraId="736E0D89" w14:textId="77777777" w:rsidR="006324AE" w:rsidRDefault="006324AE" w:rsidP="00AC4936">
      <w:pPr>
        <w:spacing w:line="305" w:lineRule="exact"/>
        <w:rPr>
          <w:sz w:val="24"/>
        </w:rPr>
      </w:pPr>
    </w:p>
    <w:p w14:paraId="052359EE" w14:textId="77777777" w:rsidR="006324AE" w:rsidRDefault="006324AE" w:rsidP="00AC4936">
      <w:pPr>
        <w:spacing w:line="305" w:lineRule="exact"/>
        <w:rPr>
          <w:sz w:val="24"/>
        </w:rPr>
      </w:pPr>
    </w:p>
    <w:p w14:paraId="33B87F55" w14:textId="77777777" w:rsidR="006324AE" w:rsidRDefault="006324AE" w:rsidP="00AC4936">
      <w:pPr>
        <w:spacing w:line="305" w:lineRule="exact"/>
        <w:rPr>
          <w:sz w:val="24"/>
        </w:rPr>
      </w:pPr>
    </w:p>
    <w:p w14:paraId="510088E8" w14:textId="77777777" w:rsidR="006324AE" w:rsidRDefault="006324AE" w:rsidP="00AC4936">
      <w:pPr>
        <w:spacing w:line="305" w:lineRule="exact"/>
        <w:rPr>
          <w:sz w:val="24"/>
        </w:rPr>
      </w:pPr>
    </w:p>
    <w:p w14:paraId="01545412" w14:textId="77777777" w:rsidR="006324AE" w:rsidRDefault="006324AE" w:rsidP="00AC4936">
      <w:pPr>
        <w:spacing w:line="305" w:lineRule="exact"/>
        <w:rPr>
          <w:sz w:val="24"/>
        </w:rPr>
      </w:pPr>
    </w:p>
    <w:p w14:paraId="3C282D1E" w14:textId="77777777" w:rsidR="00AC4936" w:rsidRDefault="00AC4936" w:rsidP="00AC4936">
      <w:pPr>
        <w:pStyle w:val="ListParagraph"/>
        <w:spacing w:line="305" w:lineRule="exact"/>
        <w:ind w:left="540" w:firstLine="0"/>
        <w:rPr>
          <w:sz w:val="24"/>
        </w:rPr>
      </w:pPr>
    </w:p>
    <w:p w14:paraId="6C57A512" w14:textId="77777777" w:rsidR="00AC4936" w:rsidRPr="00AC4936" w:rsidRDefault="00AC4936" w:rsidP="00AC4936">
      <w:pPr>
        <w:spacing w:line="305" w:lineRule="exact"/>
        <w:rPr>
          <w:b/>
          <w:sz w:val="24"/>
        </w:rPr>
      </w:pPr>
      <w:r w:rsidRPr="00AC4936">
        <w:rPr>
          <w:b/>
          <w:sz w:val="24"/>
        </w:rPr>
        <w:t>Approved by Senior Executive Committee</w:t>
      </w:r>
    </w:p>
    <w:p w14:paraId="7964A72F" w14:textId="2D634946" w:rsidR="00AC4936" w:rsidRDefault="00F4698F" w:rsidP="00AC4936">
      <w:pPr>
        <w:spacing w:line="305" w:lineRule="exact"/>
        <w:rPr>
          <w:b/>
          <w:sz w:val="24"/>
        </w:rPr>
      </w:pPr>
      <w:r>
        <w:rPr>
          <w:b/>
          <w:sz w:val="24"/>
        </w:rPr>
        <w:t>March 4</w:t>
      </w:r>
      <w:r w:rsidRPr="00F4698F">
        <w:rPr>
          <w:b/>
          <w:sz w:val="24"/>
          <w:vertAlign w:val="superscript"/>
        </w:rPr>
        <w:t>th</w:t>
      </w:r>
      <w:r>
        <w:rPr>
          <w:b/>
          <w:sz w:val="24"/>
        </w:rPr>
        <w:t>, 2024</w:t>
      </w:r>
    </w:p>
    <w:p w14:paraId="547F87EC" w14:textId="000E6457" w:rsidR="00C111E5" w:rsidRPr="00AC4936" w:rsidRDefault="006324AE" w:rsidP="00AC4936">
      <w:pPr>
        <w:spacing w:line="305" w:lineRule="exact"/>
        <w:rPr>
          <w:b/>
          <w:sz w:val="24"/>
        </w:rPr>
      </w:pPr>
      <w:r>
        <w:rPr>
          <w:b/>
          <w:sz w:val="24"/>
        </w:rPr>
        <w:t>Membership a</w:t>
      </w:r>
      <w:r w:rsidR="00C111E5">
        <w:rPr>
          <w:b/>
          <w:sz w:val="24"/>
        </w:rPr>
        <w:t xml:space="preserve">mended </w:t>
      </w:r>
      <w:r>
        <w:rPr>
          <w:b/>
          <w:sz w:val="24"/>
        </w:rPr>
        <w:t>January</w:t>
      </w:r>
      <w:r w:rsidR="00C111E5">
        <w:rPr>
          <w:b/>
          <w:sz w:val="24"/>
        </w:rPr>
        <w:t xml:space="preserve"> 2026 </w:t>
      </w:r>
    </w:p>
    <w:p w14:paraId="7CD5702A" w14:textId="77777777" w:rsidR="00AC4936" w:rsidRPr="00ED1772" w:rsidRDefault="00AC4936" w:rsidP="00ED1772">
      <w:pPr>
        <w:pStyle w:val="Heading1"/>
        <w:spacing w:after="120"/>
        <w:ind w:left="101"/>
        <w:rPr>
          <w:b w:val="0"/>
          <w:sz w:val="23"/>
        </w:rPr>
      </w:pPr>
    </w:p>
    <w:sectPr w:rsidR="00AC4936" w:rsidRPr="00ED1772" w:rsidSect="00ED1772">
      <w:footerReference w:type="default" r:id="rId9"/>
      <w:pgSz w:w="12240" w:h="15840"/>
      <w:pgMar w:top="720" w:right="720" w:bottom="1224" w:left="720" w:header="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80A25E" w14:textId="77777777" w:rsidR="00D10CC5" w:rsidRDefault="00D10CC5">
      <w:r>
        <w:separator/>
      </w:r>
    </w:p>
  </w:endnote>
  <w:endnote w:type="continuationSeparator" w:id="0">
    <w:p w14:paraId="35546B85" w14:textId="77777777" w:rsidR="00D10CC5" w:rsidRDefault="00D10C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AAFD1" w14:textId="77777777" w:rsidR="00ED1772" w:rsidRDefault="00ED1772" w:rsidP="00ED1772">
    <w:pPr>
      <w:pStyle w:val="BodyText"/>
      <w:spacing w:line="14" w:lineRule="auto"/>
      <w:rPr>
        <w:sz w:val="20"/>
      </w:rPr>
    </w:pPr>
  </w:p>
  <w:p w14:paraId="66C1D26D" w14:textId="77777777" w:rsidR="00ED1772" w:rsidRDefault="00ED1772" w:rsidP="00ED1772">
    <w:pPr>
      <w:pBdr>
        <w:top w:val="single" w:sz="4" w:space="1" w:color="auto"/>
      </w:pBdr>
      <w:adjustRightInd w:val="0"/>
      <w:jc w:val="center"/>
      <w:rPr>
        <w:rFonts w:ascii="Arial" w:hAnsi="Arial" w:cs="Arial"/>
        <w:b/>
        <w:i/>
        <w:iCs/>
        <w:noProof/>
        <w:color w:val="770000"/>
        <w:sz w:val="18"/>
        <w:szCs w:val="18"/>
      </w:rPr>
    </w:pPr>
  </w:p>
  <w:p w14:paraId="0E31619F" w14:textId="371CCBC3" w:rsidR="00ED1772" w:rsidRPr="00ED1772" w:rsidRDefault="00ED1772" w:rsidP="00ED1772">
    <w:pPr>
      <w:pBdr>
        <w:top w:val="single" w:sz="4" w:space="1" w:color="auto"/>
      </w:pBdr>
      <w:adjustRightInd w:val="0"/>
      <w:jc w:val="center"/>
      <w:rPr>
        <w:rFonts w:ascii="Arial" w:hAnsi="Arial" w:cs="Arial"/>
        <w:i/>
        <w:iCs/>
        <w:noProof/>
        <w:color w:val="770000"/>
        <w:sz w:val="18"/>
        <w:szCs w:val="18"/>
      </w:rPr>
    </w:pPr>
    <w:r w:rsidRPr="00ED1772">
      <w:rPr>
        <w:rFonts w:ascii="Arial" w:hAnsi="Arial" w:cs="Arial"/>
        <w:b/>
        <w:i/>
        <w:iCs/>
        <w:noProof/>
        <w:color w:val="770000"/>
        <w:sz w:val="18"/>
        <w:szCs w:val="18"/>
      </w:rPr>
      <w:t>Our Vision</w:t>
    </w:r>
    <w:r w:rsidRPr="00ED1772">
      <w:rPr>
        <w:rFonts w:ascii="Arial" w:hAnsi="Arial" w:cs="Arial"/>
        <w:i/>
        <w:iCs/>
        <w:noProof/>
        <w:color w:val="770000"/>
        <w:sz w:val="18"/>
        <w:szCs w:val="18"/>
      </w:rPr>
      <w:t xml:space="preserve">: Through excellence, we will integrate education, research and social accountability </w:t>
    </w:r>
  </w:p>
  <w:p w14:paraId="41C910E2" w14:textId="6F1CAAA6" w:rsidR="00EC67B5" w:rsidRPr="00ED1772" w:rsidRDefault="00ED1772" w:rsidP="00ED1772">
    <w:pPr>
      <w:adjustRightInd w:val="0"/>
      <w:jc w:val="center"/>
      <w:rPr>
        <w:rFonts w:ascii="Arial" w:hAnsi="Arial" w:cs="Arial"/>
        <w:i/>
        <w:iCs/>
        <w:noProof/>
        <w:color w:val="770000"/>
        <w:sz w:val="18"/>
        <w:szCs w:val="18"/>
      </w:rPr>
    </w:pPr>
    <w:r w:rsidRPr="00ED1772">
      <w:rPr>
        <w:rFonts w:ascii="Arial" w:hAnsi="Arial" w:cs="Arial"/>
        <w:i/>
        <w:iCs/>
        <w:noProof/>
        <w:color w:val="770000"/>
        <w:sz w:val="18"/>
        <w:szCs w:val="18"/>
      </w:rPr>
      <w:t>to advance the health of the people and communities we serve.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2BAAEC" w14:textId="77777777" w:rsidR="00D10CC5" w:rsidRDefault="00D10CC5">
      <w:r>
        <w:separator/>
      </w:r>
    </w:p>
  </w:footnote>
  <w:footnote w:type="continuationSeparator" w:id="0">
    <w:p w14:paraId="2E1D81CE" w14:textId="77777777" w:rsidR="00D10CC5" w:rsidRDefault="00D10C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B76D81"/>
    <w:multiLevelType w:val="hybridMultilevel"/>
    <w:tmpl w:val="7534ADA6"/>
    <w:lvl w:ilvl="0" w:tplc="26B09E24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w w:val="100"/>
        <w:sz w:val="24"/>
        <w:szCs w:val="24"/>
        <w:lang w:val="en-CA" w:eastAsia="en-CA" w:bidi="en-CA"/>
      </w:rPr>
    </w:lvl>
    <w:lvl w:ilvl="1" w:tplc="50CE528A">
      <w:numFmt w:val="bullet"/>
      <w:lvlText w:val="•"/>
      <w:lvlJc w:val="left"/>
      <w:pPr>
        <w:ind w:left="1694" w:hanging="360"/>
      </w:pPr>
      <w:rPr>
        <w:rFonts w:hint="default"/>
        <w:lang w:val="en-CA" w:eastAsia="en-CA" w:bidi="en-CA"/>
      </w:rPr>
    </w:lvl>
    <w:lvl w:ilvl="2" w:tplc="F0CC56A2">
      <w:numFmt w:val="bullet"/>
      <w:lvlText w:val="•"/>
      <w:lvlJc w:val="left"/>
      <w:pPr>
        <w:ind w:left="2568" w:hanging="360"/>
      </w:pPr>
      <w:rPr>
        <w:rFonts w:hint="default"/>
        <w:lang w:val="en-CA" w:eastAsia="en-CA" w:bidi="en-CA"/>
      </w:rPr>
    </w:lvl>
    <w:lvl w:ilvl="3" w:tplc="D862AFEA">
      <w:numFmt w:val="bullet"/>
      <w:lvlText w:val="•"/>
      <w:lvlJc w:val="left"/>
      <w:pPr>
        <w:ind w:left="3442" w:hanging="360"/>
      </w:pPr>
      <w:rPr>
        <w:rFonts w:hint="default"/>
        <w:lang w:val="en-CA" w:eastAsia="en-CA" w:bidi="en-CA"/>
      </w:rPr>
    </w:lvl>
    <w:lvl w:ilvl="4" w:tplc="22268C40">
      <w:numFmt w:val="bullet"/>
      <w:lvlText w:val="•"/>
      <w:lvlJc w:val="left"/>
      <w:pPr>
        <w:ind w:left="4316" w:hanging="360"/>
      </w:pPr>
      <w:rPr>
        <w:rFonts w:hint="default"/>
        <w:lang w:val="en-CA" w:eastAsia="en-CA" w:bidi="en-CA"/>
      </w:rPr>
    </w:lvl>
    <w:lvl w:ilvl="5" w:tplc="F8F2FB90">
      <w:numFmt w:val="bullet"/>
      <w:lvlText w:val="•"/>
      <w:lvlJc w:val="left"/>
      <w:pPr>
        <w:ind w:left="5190" w:hanging="360"/>
      </w:pPr>
      <w:rPr>
        <w:rFonts w:hint="default"/>
        <w:lang w:val="en-CA" w:eastAsia="en-CA" w:bidi="en-CA"/>
      </w:rPr>
    </w:lvl>
    <w:lvl w:ilvl="6" w:tplc="49D4A51A">
      <w:numFmt w:val="bullet"/>
      <w:lvlText w:val="•"/>
      <w:lvlJc w:val="left"/>
      <w:pPr>
        <w:ind w:left="6064" w:hanging="360"/>
      </w:pPr>
      <w:rPr>
        <w:rFonts w:hint="default"/>
        <w:lang w:val="en-CA" w:eastAsia="en-CA" w:bidi="en-CA"/>
      </w:rPr>
    </w:lvl>
    <w:lvl w:ilvl="7" w:tplc="61CC6B7C">
      <w:numFmt w:val="bullet"/>
      <w:lvlText w:val="•"/>
      <w:lvlJc w:val="left"/>
      <w:pPr>
        <w:ind w:left="6938" w:hanging="360"/>
      </w:pPr>
      <w:rPr>
        <w:rFonts w:hint="default"/>
        <w:lang w:val="en-CA" w:eastAsia="en-CA" w:bidi="en-CA"/>
      </w:rPr>
    </w:lvl>
    <w:lvl w:ilvl="8" w:tplc="13BA21BC">
      <w:numFmt w:val="bullet"/>
      <w:lvlText w:val="•"/>
      <w:lvlJc w:val="left"/>
      <w:pPr>
        <w:ind w:left="7812" w:hanging="360"/>
      </w:pPr>
      <w:rPr>
        <w:rFonts w:hint="default"/>
        <w:lang w:val="en-CA" w:eastAsia="en-CA" w:bidi="en-CA"/>
      </w:rPr>
    </w:lvl>
  </w:abstractNum>
  <w:num w:numId="1" w16cid:durableId="9143208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67B5"/>
    <w:rsid w:val="000607C5"/>
    <w:rsid w:val="00114178"/>
    <w:rsid w:val="00150FB9"/>
    <w:rsid w:val="00233912"/>
    <w:rsid w:val="00290BF0"/>
    <w:rsid w:val="002B1821"/>
    <w:rsid w:val="00430E2E"/>
    <w:rsid w:val="006324AE"/>
    <w:rsid w:val="0068529E"/>
    <w:rsid w:val="007946FA"/>
    <w:rsid w:val="007B29C4"/>
    <w:rsid w:val="00A116CD"/>
    <w:rsid w:val="00A34F09"/>
    <w:rsid w:val="00AC4936"/>
    <w:rsid w:val="00C111E5"/>
    <w:rsid w:val="00C70AD4"/>
    <w:rsid w:val="00D10CC5"/>
    <w:rsid w:val="00EC67B5"/>
    <w:rsid w:val="00ED1772"/>
    <w:rsid w:val="00ED2246"/>
    <w:rsid w:val="00F4698F"/>
    <w:rsid w:val="00F53F23"/>
    <w:rsid w:val="00F71141"/>
    <w:rsid w:val="00F83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539AC6"/>
  <w15:docId w15:val="{E8F0A361-3446-4271-A953-ADFC31EB0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n-CA" w:eastAsia="en-CA" w:bidi="en-CA"/>
    </w:rPr>
  </w:style>
  <w:style w:type="paragraph" w:styleId="Heading1">
    <w:name w:val="heading 1"/>
    <w:basedOn w:val="Normal"/>
    <w:uiPriority w:val="1"/>
    <w:qFormat/>
    <w:pPr>
      <w:ind w:left="10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20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820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0607C5"/>
    <w:pPr>
      <w:widowControl/>
      <w:autoSpaceDE/>
      <w:autoSpaceDN/>
    </w:pPr>
    <w:rPr>
      <w:rFonts w:ascii="Calibri" w:eastAsia="Calibri" w:hAnsi="Calibri" w:cs="Calibri"/>
      <w:lang w:val="en-CA" w:eastAsia="en-CA" w:bidi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07C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07C5"/>
    <w:rPr>
      <w:rFonts w:ascii="Segoe UI" w:eastAsia="Calibri" w:hAnsi="Segoe UI" w:cs="Segoe UI"/>
      <w:sz w:val="18"/>
      <w:szCs w:val="18"/>
      <w:lang w:val="en-CA" w:eastAsia="en-CA" w:bidi="en-CA"/>
    </w:rPr>
  </w:style>
  <w:style w:type="character" w:styleId="CommentReference">
    <w:name w:val="annotation reference"/>
    <w:basedOn w:val="DefaultParagraphFont"/>
    <w:uiPriority w:val="99"/>
    <w:semiHidden/>
    <w:unhideWhenUsed/>
    <w:rsid w:val="000607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607C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607C5"/>
    <w:rPr>
      <w:rFonts w:ascii="Calibri" w:eastAsia="Calibri" w:hAnsi="Calibri" w:cs="Calibri"/>
      <w:sz w:val="20"/>
      <w:szCs w:val="20"/>
      <w:lang w:val="en-CA" w:eastAsia="en-CA" w:bidi="en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07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07C5"/>
    <w:rPr>
      <w:rFonts w:ascii="Calibri" w:eastAsia="Calibri" w:hAnsi="Calibri" w:cs="Calibri"/>
      <w:b/>
      <w:bCs/>
      <w:sz w:val="20"/>
      <w:szCs w:val="20"/>
      <w:lang w:val="en-CA" w:eastAsia="en-CA" w:bidi="en-CA"/>
    </w:rPr>
  </w:style>
  <w:style w:type="paragraph" w:styleId="Header">
    <w:name w:val="header"/>
    <w:basedOn w:val="Normal"/>
    <w:link w:val="HeaderChar"/>
    <w:uiPriority w:val="99"/>
    <w:unhideWhenUsed/>
    <w:rsid w:val="00ED177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1772"/>
    <w:rPr>
      <w:rFonts w:ascii="Calibri" w:eastAsia="Calibri" w:hAnsi="Calibri" w:cs="Calibri"/>
      <w:lang w:val="en-CA" w:eastAsia="en-CA" w:bidi="en-CA"/>
    </w:rPr>
  </w:style>
  <w:style w:type="paragraph" w:styleId="Footer">
    <w:name w:val="footer"/>
    <w:basedOn w:val="Normal"/>
    <w:link w:val="FooterChar"/>
    <w:uiPriority w:val="99"/>
    <w:unhideWhenUsed/>
    <w:rsid w:val="00ED177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1772"/>
    <w:rPr>
      <w:rFonts w:ascii="Calibri" w:eastAsia="Calibri" w:hAnsi="Calibri" w:cs="Calibri"/>
      <w:lang w:val="en-CA" w:eastAsia="en-CA" w:bidi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8E6476-221D-4DD5-8374-3AD94E3779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330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Memorial University</Company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Reddigan, Jacinta</dc:creator>
  <cp:lastModifiedBy>Hickey, Tina</cp:lastModifiedBy>
  <cp:revision>2</cp:revision>
  <cp:lastPrinted>2022-02-16T19:41:00Z</cp:lastPrinted>
  <dcterms:created xsi:type="dcterms:W3CDTF">2026-03-02T20:40:00Z</dcterms:created>
  <dcterms:modified xsi:type="dcterms:W3CDTF">2026-03-02T20:40:00Z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2017-04-07T00:00:00Z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2022-02-07T00:00:00Z</vt:filetime>
  </property>
</Properties>
</file>